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657FC" w14:textId="1279E712" w:rsidR="006C7066" w:rsidRPr="000D2A6E" w:rsidRDefault="006C7066" w:rsidP="006C7066">
      <w:pPr>
        <w:pStyle w:val="Heading1"/>
      </w:pPr>
      <w:bookmarkStart w:id="0" w:name="_Ref523694156"/>
      <w:bookmarkStart w:id="1" w:name="_Ref9102706"/>
      <w:bookmarkStart w:id="2" w:name="_Toc10137583"/>
      <w:bookmarkStart w:id="3" w:name="_Toc10137582"/>
      <w:bookmarkStart w:id="4" w:name="_Ref523688194"/>
      <w:bookmarkStart w:id="5" w:name="_Toc10137581"/>
      <w:r w:rsidRPr="000D2A6E">
        <w:t xml:space="preserve">LIST OF </w:t>
      </w:r>
      <w:r w:rsidR="009C562A">
        <w:t>SUPPLEMENTARY</w:t>
      </w:r>
      <w:r w:rsidRPr="000D2A6E">
        <w:t xml:space="preserve"> TABLES</w:t>
      </w:r>
    </w:p>
    <w:p w14:paraId="42E47CDA" w14:textId="6ED9066F" w:rsidR="009C562A" w:rsidRDefault="009C562A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sz w:val="22"/>
          <w:lang w:eastAsia="en-GB"/>
        </w:rPr>
      </w:pPr>
      <w:r>
        <w:fldChar w:fldCharType="begin"/>
      </w:r>
      <w:r>
        <w:instrText xml:space="preserve"> TOC \h \z \c "Supplemantary table" </w:instrText>
      </w:r>
      <w:r>
        <w:fldChar w:fldCharType="separate"/>
      </w:r>
      <w:hyperlink w:anchor="_Toc32134761" w:history="1">
        <w:r w:rsidRPr="00996C7A">
          <w:rPr>
            <w:rStyle w:val="Hyperlink"/>
          </w:rPr>
          <w:t>Supplemantary table 1: Duke activity status index (DASI)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_Toc32134761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I</w:t>
        </w:r>
        <w:r>
          <w:rPr>
            <w:webHidden/>
          </w:rPr>
          <w:fldChar w:fldCharType="end"/>
        </w:r>
      </w:hyperlink>
    </w:p>
    <w:p w14:paraId="52968E30" w14:textId="2094E6C7" w:rsidR="009C562A" w:rsidRDefault="00AC3F5A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sz w:val="22"/>
          <w:lang w:eastAsia="en-GB"/>
        </w:rPr>
      </w:pPr>
      <w:hyperlink w:anchor="_Toc32134762" w:history="1">
        <w:r w:rsidR="009C562A" w:rsidRPr="00996C7A">
          <w:rPr>
            <w:rStyle w:val="Hyperlink"/>
          </w:rPr>
          <w:t>Supplemantary table 2: Patient characteristics to be evaluated - Case definitions</w:t>
        </w:r>
        <w:r w:rsidR="009C562A">
          <w:rPr>
            <w:webHidden/>
          </w:rPr>
          <w:tab/>
        </w:r>
        <w:r w:rsidR="009C562A">
          <w:rPr>
            <w:webHidden/>
          </w:rPr>
          <w:fldChar w:fldCharType="begin"/>
        </w:r>
        <w:r w:rsidR="009C562A">
          <w:rPr>
            <w:webHidden/>
          </w:rPr>
          <w:instrText xml:space="preserve"> PAGEREF _Toc32134762 \h </w:instrText>
        </w:r>
        <w:r w:rsidR="009C562A">
          <w:rPr>
            <w:webHidden/>
          </w:rPr>
        </w:r>
        <w:r w:rsidR="009C562A">
          <w:rPr>
            <w:webHidden/>
          </w:rPr>
          <w:fldChar w:fldCharType="separate"/>
        </w:r>
        <w:r w:rsidR="009C562A">
          <w:rPr>
            <w:webHidden/>
          </w:rPr>
          <w:t>II</w:t>
        </w:r>
        <w:r w:rsidR="009C562A">
          <w:rPr>
            <w:webHidden/>
          </w:rPr>
          <w:fldChar w:fldCharType="end"/>
        </w:r>
      </w:hyperlink>
    </w:p>
    <w:p w14:paraId="74D99CDA" w14:textId="73B47D30" w:rsidR="009C562A" w:rsidRDefault="00AC3F5A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sz w:val="22"/>
          <w:lang w:eastAsia="en-GB"/>
        </w:rPr>
      </w:pPr>
      <w:hyperlink w:anchor="_Toc32134763" w:history="1">
        <w:r w:rsidR="009C562A" w:rsidRPr="00996C7A">
          <w:rPr>
            <w:rStyle w:val="Hyperlink"/>
          </w:rPr>
          <w:t>Supplemantary table 3: Non anthracycline therapy administered</w:t>
        </w:r>
        <w:r w:rsidR="009C562A">
          <w:rPr>
            <w:webHidden/>
          </w:rPr>
          <w:tab/>
        </w:r>
        <w:r w:rsidR="009C562A">
          <w:rPr>
            <w:webHidden/>
          </w:rPr>
          <w:fldChar w:fldCharType="begin"/>
        </w:r>
        <w:r w:rsidR="009C562A">
          <w:rPr>
            <w:webHidden/>
          </w:rPr>
          <w:instrText xml:space="preserve"> PAGEREF _Toc32134763 \h </w:instrText>
        </w:r>
        <w:r w:rsidR="009C562A">
          <w:rPr>
            <w:webHidden/>
          </w:rPr>
        </w:r>
        <w:r w:rsidR="009C562A">
          <w:rPr>
            <w:webHidden/>
          </w:rPr>
          <w:fldChar w:fldCharType="separate"/>
        </w:r>
        <w:r w:rsidR="009C562A">
          <w:rPr>
            <w:webHidden/>
          </w:rPr>
          <w:t>III</w:t>
        </w:r>
        <w:r w:rsidR="009C562A">
          <w:rPr>
            <w:webHidden/>
          </w:rPr>
          <w:fldChar w:fldCharType="end"/>
        </w:r>
      </w:hyperlink>
    </w:p>
    <w:p w14:paraId="00FCB8E5" w14:textId="5B635A18" w:rsidR="009C562A" w:rsidRDefault="009C562A" w:rsidP="006C7066">
      <w:pPr>
        <w:pStyle w:val="Heading1"/>
      </w:pPr>
      <w:r>
        <w:fldChar w:fldCharType="end"/>
      </w:r>
    </w:p>
    <w:p w14:paraId="640ADBBA" w14:textId="41BE1D3E" w:rsidR="006C7066" w:rsidRPr="00130C45" w:rsidRDefault="009C562A" w:rsidP="006C7066">
      <w:pPr>
        <w:pStyle w:val="Heading1"/>
      </w:pPr>
      <w:r>
        <w:t>SUPPLEMENTARY</w:t>
      </w:r>
      <w:r w:rsidR="006C7066" w:rsidRPr="00130C45">
        <w:t xml:space="preserve"> TABLES</w:t>
      </w:r>
    </w:p>
    <w:p w14:paraId="6DD1FC0C" w14:textId="34B06C3F" w:rsidR="009C562A" w:rsidRDefault="009C562A" w:rsidP="009C562A">
      <w:pPr>
        <w:pStyle w:val="Caption"/>
        <w:keepNext/>
      </w:pPr>
      <w:bookmarkStart w:id="6" w:name="_Toc32134761"/>
      <w:r>
        <w:t xml:space="preserve">Supplemantary table </w:t>
      </w:r>
      <w:r>
        <w:fldChar w:fldCharType="begin"/>
      </w:r>
      <w:r>
        <w:instrText xml:space="preserve"> SEQ Supplemantary_table \* ARABIC </w:instrText>
      </w:r>
      <w:r>
        <w:fldChar w:fldCharType="separate"/>
      </w:r>
      <w:r>
        <w:t>1</w:t>
      </w:r>
      <w:r>
        <w:fldChar w:fldCharType="end"/>
      </w:r>
      <w:r>
        <w:t xml:space="preserve">: </w:t>
      </w:r>
      <w:r w:rsidRPr="00AA299E">
        <w:t>Duke activity status index (DASI)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5479"/>
        <w:gridCol w:w="1170"/>
        <w:gridCol w:w="990"/>
        <w:gridCol w:w="990"/>
      </w:tblGrid>
      <w:tr w:rsidR="006C7066" w:rsidRPr="0052729D" w14:paraId="61514B7A" w14:textId="77777777" w:rsidTr="00D24520">
        <w:tc>
          <w:tcPr>
            <w:tcW w:w="5935" w:type="dxa"/>
            <w:gridSpan w:val="2"/>
            <w:vMerge w:val="restart"/>
            <w:shd w:val="clear" w:color="auto" w:fill="auto"/>
          </w:tcPr>
          <w:p w14:paraId="4144746E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Are you (Is the patient) able to:</w:t>
            </w:r>
          </w:p>
        </w:tc>
        <w:tc>
          <w:tcPr>
            <w:tcW w:w="1170" w:type="dxa"/>
            <w:vMerge w:val="restart"/>
            <w:vAlign w:val="bottom"/>
          </w:tcPr>
          <w:p w14:paraId="7A337766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23788349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Mark appropriate answer with either (X) or (√)</w:t>
            </w:r>
          </w:p>
        </w:tc>
      </w:tr>
      <w:tr w:rsidR="006C7066" w:rsidRPr="0052729D" w14:paraId="2D16567F" w14:textId="77777777" w:rsidTr="00D24520">
        <w:tc>
          <w:tcPr>
            <w:tcW w:w="5935" w:type="dxa"/>
            <w:gridSpan w:val="2"/>
            <w:vMerge/>
            <w:shd w:val="clear" w:color="auto" w:fill="auto"/>
          </w:tcPr>
          <w:p w14:paraId="06C97DDC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AEE2208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1C9C8731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0" w:type="dxa"/>
            <w:shd w:val="clear" w:color="auto" w:fill="auto"/>
          </w:tcPr>
          <w:p w14:paraId="3BFB2710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6C7066" w:rsidRPr="0052729D" w14:paraId="71A5F8BE" w14:textId="77777777" w:rsidTr="00D24520">
        <w:tc>
          <w:tcPr>
            <w:tcW w:w="456" w:type="dxa"/>
            <w:shd w:val="clear" w:color="auto" w:fill="auto"/>
          </w:tcPr>
          <w:p w14:paraId="4D011D21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9" w:type="dxa"/>
            <w:shd w:val="clear" w:color="auto" w:fill="auto"/>
          </w:tcPr>
          <w:p w14:paraId="3EC75068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Take care of self (e.g. eating, dressing, bathing, using the toilet)</w:t>
            </w:r>
          </w:p>
        </w:tc>
        <w:tc>
          <w:tcPr>
            <w:tcW w:w="1170" w:type="dxa"/>
          </w:tcPr>
          <w:p w14:paraId="7F648250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990" w:type="dxa"/>
            <w:shd w:val="clear" w:color="auto" w:fill="auto"/>
          </w:tcPr>
          <w:p w14:paraId="4DE843C7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627D07ED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4FB4FFA4" w14:textId="77777777" w:rsidTr="00D24520">
        <w:tc>
          <w:tcPr>
            <w:tcW w:w="456" w:type="dxa"/>
            <w:shd w:val="clear" w:color="auto" w:fill="auto"/>
          </w:tcPr>
          <w:p w14:paraId="07449593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9" w:type="dxa"/>
            <w:shd w:val="clear" w:color="auto" w:fill="auto"/>
          </w:tcPr>
          <w:p w14:paraId="6D2AE850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Walk indoors</w:t>
            </w:r>
          </w:p>
        </w:tc>
        <w:tc>
          <w:tcPr>
            <w:tcW w:w="1170" w:type="dxa"/>
          </w:tcPr>
          <w:p w14:paraId="221F42F2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990" w:type="dxa"/>
            <w:shd w:val="clear" w:color="auto" w:fill="auto"/>
          </w:tcPr>
          <w:p w14:paraId="2457F763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5DBA50A7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13647E3D" w14:textId="77777777" w:rsidTr="00D24520">
        <w:tc>
          <w:tcPr>
            <w:tcW w:w="456" w:type="dxa"/>
            <w:shd w:val="clear" w:color="auto" w:fill="auto"/>
          </w:tcPr>
          <w:p w14:paraId="6DC022C6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9" w:type="dxa"/>
            <w:shd w:val="clear" w:color="auto" w:fill="auto"/>
          </w:tcPr>
          <w:p w14:paraId="7F02EADB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Walk 1-2 blocks on level ground (80 – 160 meters)</w:t>
            </w:r>
          </w:p>
        </w:tc>
        <w:tc>
          <w:tcPr>
            <w:tcW w:w="1170" w:type="dxa"/>
          </w:tcPr>
          <w:p w14:paraId="2DF8C72D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990" w:type="dxa"/>
            <w:shd w:val="clear" w:color="auto" w:fill="auto"/>
          </w:tcPr>
          <w:p w14:paraId="3BFDC750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11D42A39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451938D2" w14:textId="77777777" w:rsidTr="00D24520">
        <w:tc>
          <w:tcPr>
            <w:tcW w:w="456" w:type="dxa"/>
            <w:shd w:val="clear" w:color="auto" w:fill="auto"/>
          </w:tcPr>
          <w:p w14:paraId="114BA01D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9" w:type="dxa"/>
            <w:shd w:val="clear" w:color="auto" w:fill="auto"/>
          </w:tcPr>
          <w:p w14:paraId="1D4A239F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Climb a flight of stairs or walk up a hill</w:t>
            </w:r>
          </w:p>
        </w:tc>
        <w:tc>
          <w:tcPr>
            <w:tcW w:w="1170" w:type="dxa"/>
          </w:tcPr>
          <w:p w14:paraId="40454F3F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90" w:type="dxa"/>
            <w:shd w:val="clear" w:color="auto" w:fill="auto"/>
          </w:tcPr>
          <w:p w14:paraId="3DFDFE7A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541858F3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6B7390A8" w14:textId="77777777" w:rsidTr="00D24520">
        <w:tc>
          <w:tcPr>
            <w:tcW w:w="456" w:type="dxa"/>
            <w:shd w:val="clear" w:color="auto" w:fill="auto"/>
          </w:tcPr>
          <w:p w14:paraId="73A5A242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9" w:type="dxa"/>
            <w:shd w:val="clear" w:color="auto" w:fill="auto"/>
          </w:tcPr>
          <w:p w14:paraId="344EB33E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Run a short distance</w:t>
            </w:r>
          </w:p>
        </w:tc>
        <w:tc>
          <w:tcPr>
            <w:tcW w:w="1170" w:type="dxa"/>
          </w:tcPr>
          <w:p w14:paraId="4A3F0F57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</w:tcPr>
          <w:p w14:paraId="703C50D2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54F58EC9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2DAE6E2D" w14:textId="77777777" w:rsidTr="00D24520">
        <w:tc>
          <w:tcPr>
            <w:tcW w:w="456" w:type="dxa"/>
            <w:shd w:val="clear" w:color="auto" w:fill="auto"/>
          </w:tcPr>
          <w:p w14:paraId="4B815C7D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9" w:type="dxa"/>
            <w:shd w:val="clear" w:color="auto" w:fill="auto"/>
          </w:tcPr>
          <w:p w14:paraId="3CC61122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 light work around the house (e.g. dusting, washing dishes)</w:t>
            </w:r>
          </w:p>
        </w:tc>
        <w:tc>
          <w:tcPr>
            <w:tcW w:w="1170" w:type="dxa"/>
          </w:tcPr>
          <w:p w14:paraId="158C2A82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90" w:type="dxa"/>
            <w:shd w:val="clear" w:color="auto" w:fill="auto"/>
          </w:tcPr>
          <w:p w14:paraId="3D4778F2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79F7ACD5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79F5864B" w14:textId="77777777" w:rsidTr="00D24520">
        <w:tc>
          <w:tcPr>
            <w:tcW w:w="456" w:type="dxa"/>
            <w:shd w:val="clear" w:color="auto" w:fill="auto"/>
          </w:tcPr>
          <w:p w14:paraId="17C5857F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9" w:type="dxa"/>
            <w:shd w:val="clear" w:color="auto" w:fill="auto"/>
          </w:tcPr>
          <w:p w14:paraId="0F9F281D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 moderate work around the house (e.g. vacuuming, sweeping floors, carrying in groceries)</w:t>
            </w:r>
          </w:p>
        </w:tc>
        <w:tc>
          <w:tcPr>
            <w:tcW w:w="1170" w:type="dxa"/>
          </w:tcPr>
          <w:p w14:paraId="67D2A53E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0" w:type="dxa"/>
            <w:shd w:val="clear" w:color="auto" w:fill="auto"/>
          </w:tcPr>
          <w:p w14:paraId="171A2B05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61F11D14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2F4DEEDB" w14:textId="77777777" w:rsidTr="00D24520">
        <w:tc>
          <w:tcPr>
            <w:tcW w:w="456" w:type="dxa"/>
            <w:shd w:val="clear" w:color="auto" w:fill="auto"/>
          </w:tcPr>
          <w:p w14:paraId="5B2DD904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9" w:type="dxa"/>
            <w:shd w:val="clear" w:color="auto" w:fill="auto"/>
          </w:tcPr>
          <w:p w14:paraId="08EB4C58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 heavy work around the house (e.g. scrubbing floors, lifting or moving heavy furniture)</w:t>
            </w:r>
          </w:p>
        </w:tc>
        <w:tc>
          <w:tcPr>
            <w:tcW w:w="1170" w:type="dxa"/>
          </w:tcPr>
          <w:p w14:paraId="45DC6FEF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</w:tcPr>
          <w:p w14:paraId="34BF04DB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1F2A2804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05ACBCB7" w14:textId="77777777" w:rsidTr="00D24520">
        <w:tc>
          <w:tcPr>
            <w:tcW w:w="456" w:type="dxa"/>
            <w:shd w:val="clear" w:color="auto" w:fill="auto"/>
          </w:tcPr>
          <w:p w14:paraId="5BD11362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9" w:type="dxa"/>
            <w:shd w:val="clear" w:color="auto" w:fill="auto"/>
          </w:tcPr>
          <w:p w14:paraId="7EE18FE8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 yard work (e.g. raking leaves, weeding, pushing a power mower)</w:t>
            </w:r>
          </w:p>
        </w:tc>
        <w:tc>
          <w:tcPr>
            <w:tcW w:w="1170" w:type="dxa"/>
          </w:tcPr>
          <w:p w14:paraId="2E5ABA68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0" w:type="dxa"/>
            <w:shd w:val="clear" w:color="auto" w:fill="auto"/>
          </w:tcPr>
          <w:p w14:paraId="69ADFCD3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52C90AB6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6FE57E5B" w14:textId="77777777" w:rsidTr="00D24520">
        <w:tc>
          <w:tcPr>
            <w:tcW w:w="456" w:type="dxa"/>
            <w:shd w:val="clear" w:color="auto" w:fill="auto"/>
          </w:tcPr>
          <w:p w14:paraId="4ED06EBA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9" w:type="dxa"/>
            <w:shd w:val="clear" w:color="auto" w:fill="auto"/>
          </w:tcPr>
          <w:p w14:paraId="2D34C2E4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Have sexual relations</w:t>
            </w:r>
          </w:p>
        </w:tc>
        <w:tc>
          <w:tcPr>
            <w:tcW w:w="1170" w:type="dxa"/>
          </w:tcPr>
          <w:p w14:paraId="5C257F31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990" w:type="dxa"/>
            <w:shd w:val="clear" w:color="auto" w:fill="auto"/>
          </w:tcPr>
          <w:p w14:paraId="258D56E4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3A4B255F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7C7FFC3C" w14:textId="77777777" w:rsidTr="00D24520">
        <w:tc>
          <w:tcPr>
            <w:tcW w:w="456" w:type="dxa"/>
            <w:shd w:val="clear" w:color="auto" w:fill="auto"/>
          </w:tcPr>
          <w:p w14:paraId="522D68E3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79" w:type="dxa"/>
            <w:shd w:val="clear" w:color="auto" w:fill="auto"/>
          </w:tcPr>
          <w:p w14:paraId="331DA1CF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Participate in moderate recreational activities (e.g. golf, bowling, dancing, doubles tennis, throwing a baseball or football)</w:t>
            </w:r>
          </w:p>
        </w:tc>
        <w:tc>
          <w:tcPr>
            <w:tcW w:w="1170" w:type="dxa"/>
          </w:tcPr>
          <w:p w14:paraId="12D557C5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shd w:val="clear" w:color="auto" w:fill="auto"/>
          </w:tcPr>
          <w:p w14:paraId="1D94E4AE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74159EF4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74839C84" w14:textId="77777777" w:rsidTr="00D24520">
        <w:tc>
          <w:tcPr>
            <w:tcW w:w="456" w:type="dxa"/>
            <w:shd w:val="clear" w:color="auto" w:fill="auto"/>
          </w:tcPr>
          <w:p w14:paraId="54FC84E7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479" w:type="dxa"/>
            <w:shd w:val="clear" w:color="auto" w:fill="auto"/>
          </w:tcPr>
          <w:p w14:paraId="76837C8A" w14:textId="77777777" w:rsidR="006C7066" w:rsidRPr="00130C45" w:rsidRDefault="006C7066" w:rsidP="00D24520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Participate in strenuous sports (e.g. swimming, singles tennis, football, basketball, skiing)</w:t>
            </w:r>
          </w:p>
        </w:tc>
        <w:tc>
          <w:tcPr>
            <w:tcW w:w="1170" w:type="dxa"/>
          </w:tcPr>
          <w:p w14:paraId="2D4DA62E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90" w:type="dxa"/>
            <w:shd w:val="clear" w:color="auto" w:fill="auto"/>
          </w:tcPr>
          <w:p w14:paraId="16ED09DB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1E9FD38D" w14:textId="77777777" w:rsidR="006C7066" w:rsidRPr="00130C45" w:rsidRDefault="006C7066" w:rsidP="00D24520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185B0D" w14:textId="77777777" w:rsidR="006C7066" w:rsidRPr="00130C45" w:rsidRDefault="006C7066" w:rsidP="006C7066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969FF87" w14:textId="77777777" w:rsidR="006C7066" w:rsidRDefault="006C7066" w:rsidP="006C7066">
      <w:pPr>
        <w:pStyle w:val="Caption"/>
      </w:pPr>
    </w:p>
    <w:p w14:paraId="50E12B02" w14:textId="7074DAB0" w:rsidR="009C562A" w:rsidRDefault="009C562A" w:rsidP="009C562A">
      <w:pPr>
        <w:pStyle w:val="Caption"/>
        <w:keepNext/>
      </w:pPr>
      <w:bookmarkStart w:id="7" w:name="_Toc32134762"/>
      <w:r>
        <w:t xml:space="preserve">Supplemantary table </w:t>
      </w:r>
      <w:r>
        <w:fldChar w:fldCharType="begin"/>
      </w:r>
      <w:r>
        <w:instrText xml:space="preserve"> SEQ Supplemantary_table \* ARABIC </w:instrText>
      </w:r>
      <w:r>
        <w:fldChar w:fldCharType="separate"/>
      </w:r>
      <w:r>
        <w:t>2</w:t>
      </w:r>
      <w:r>
        <w:fldChar w:fldCharType="end"/>
      </w:r>
      <w:r>
        <w:t xml:space="preserve">: </w:t>
      </w:r>
      <w:r w:rsidRPr="00576236">
        <w:t>Patient characteristics to be evaluated - Case definitions</w:t>
      </w:r>
      <w:bookmarkEnd w:id="7"/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1576"/>
        <w:gridCol w:w="7509"/>
      </w:tblGrid>
      <w:tr w:rsidR="006C7066" w:rsidRPr="0052729D" w14:paraId="61F7A094" w14:textId="77777777" w:rsidTr="009C5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76" w:type="dxa"/>
          </w:tcPr>
          <w:p w14:paraId="1584AC54" w14:textId="77777777" w:rsidR="006C7066" w:rsidRPr="00E878D1" w:rsidRDefault="006C7066" w:rsidP="00D24520">
            <w:pPr>
              <w:pStyle w:val="ListParagraph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7509" w:type="dxa"/>
          </w:tcPr>
          <w:p w14:paraId="1DD3D0A2" w14:textId="77777777" w:rsidR="006C7066" w:rsidRPr="00E878D1" w:rsidRDefault="006C7066" w:rsidP="00D24520">
            <w:pPr>
              <w:pStyle w:val="ListParagraph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</w:tr>
      <w:tr w:rsidR="006C7066" w:rsidRPr="0052729D" w14:paraId="6AD99B9C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76" w:type="dxa"/>
          </w:tcPr>
          <w:p w14:paraId="73D843C6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Age at first dose of anthracycline chemotherapy</w:t>
            </w:r>
          </w:p>
        </w:tc>
        <w:tc>
          <w:tcPr>
            <w:tcW w:w="7509" w:type="dxa"/>
          </w:tcPr>
          <w:p w14:paraId="4AAD065B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Chronological age, which was derived from the dates of birth and first dose of anthracycline</w:t>
            </w:r>
          </w:p>
        </w:tc>
      </w:tr>
      <w:tr w:rsidR="006C7066" w:rsidRPr="0052729D" w14:paraId="7CB91877" w14:textId="77777777" w:rsidTr="009C562A">
        <w:tc>
          <w:tcPr>
            <w:tcW w:w="1576" w:type="dxa"/>
          </w:tcPr>
          <w:p w14:paraId="3933A59C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7509" w:type="dxa"/>
          </w:tcPr>
          <w:p w14:paraId="0D6527EB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Social gender, either male or female,obtained from health records.</w:t>
            </w:r>
          </w:p>
        </w:tc>
      </w:tr>
      <w:tr w:rsidR="006C7066" w:rsidRPr="0052729D" w14:paraId="002907CF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76" w:type="dxa"/>
          </w:tcPr>
          <w:p w14:paraId="63EC92FA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7509" w:type="dxa"/>
          </w:tcPr>
          <w:p w14:paraId="05CF6381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Racial heritage obtained this from health records.</w:t>
            </w:r>
          </w:p>
        </w:tc>
      </w:tr>
      <w:tr w:rsidR="006C7066" w:rsidRPr="0052729D" w14:paraId="5BDAA599" w14:textId="77777777" w:rsidTr="009C562A">
        <w:tc>
          <w:tcPr>
            <w:tcW w:w="1576" w:type="dxa"/>
          </w:tcPr>
          <w:p w14:paraId="411D4FAA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7509" w:type="dxa"/>
          </w:tcPr>
          <w:p w14:paraId="1C8600D5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 xml:space="preserve">Whether present or not at baseline. If identified later, it was assumed to have been present at baseline. </w:t>
            </w:r>
          </w:p>
        </w:tc>
      </w:tr>
      <w:tr w:rsidR="006C7066" w:rsidRPr="0052729D" w14:paraId="48E2A034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76" w:type="dxa"/>
          </w:tcPr>
          <w:p w14:paraId="6E0FBD97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Systemic arterial hypertension</w:t>
            </w:r>
          </w:p>
        </w:tc>
        <w:tc>
          <w:tcPr>
            <w:tcW w:w="7509" w:type="dxa"/>
          </w:tcPr>
          <w:p w14:paraId="6CE92FFB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 xml:space="preserve">Whether known or not pre-anthracycline. </w:t>
            </w:r>
          </w:p>
        </w:tc>
      </w:tr>
      <w:tr w:rsidR="006C7066" w:rsidRPr="0052729D" w14:paraId="07E3C3A1" w14:textId="77777777" w:rsidTr="009C562A">
        <w:tc>
          <w:tcPr>
            <w:tcW w:w="1576" w:type="dxa"/>
          </w:tcPr>
          <w:p w14:paraId="3928B3A6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Blood pressure</w:t>
            </w:r>
          </w:p>
        </w:tc>
        <w:tc>
          <w:tcPr>
            <w:tcW w:w="7509" w:type="dxa"/>
          </w:tcPr>
          <w:p w14:paraId="6980A917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Two independent readings prior to chemotherapy were recorded, and averaged.</w:t>
            </w:r>
          </w:p>
        </w:tc>
      </w:tr>
      <w:tr w:rsidR="006C7066" w:rsidRPr="0052729D" w14:paraId="6F99D374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76" w:type="dxa"/>
          </w:tcPr>
          <w:p w14:paraId="47D4BD06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Dyslipidemia</w:t>
            </w:r>
          </w:p>
        </w:tc>
        <w:tc>
          <w:tcPr>
            <w:tcW w:w="7509" w:type="dxa"/>
          </w:tcPr>
          <w:p w14:paraId="4764583C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Chart review: whether known to have dyslipidemia or low density lipoprotein cholesterol level of &gt;4.75mmol/L or on statin therapy.</w:t>
            </w:r>
          </w:p>
        </w:tc>
      </w:tr>
      <w:tr w:rsidR="006C7066" w:rsidRPr="0052729D" w14:paraId="1DF57C13" w14:textId="77777777" w:rsidTr="009C562A">
        <w:tc>
          <w:tcPr>
            <w:tcW w:w="1576" w:type="dxa"/>
          </w:tcPr>
          <w:p w14:paraId="7B520B4A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Alcohol use</w:t>
            </w:r>
          </w:p>
        </w:tc>
        <w:tc>
          <w:tcPr>
            <w:tcW w:w="7509" w:type="dxa"/>
          </w:tcPr>
          <w:p w14:paraId="1588035B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Whether drinks or not.</w:t>
            </w:r>
          </w:p>
        </w:tc>
      </w:tr>
      <w:tr w:rsidR="006C7066" w:rsidRPr="0052729D" w14:paraId="5D4B2EB0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76" w:type="dxa"/>
          </w:tcPr>
          <w:p w14:paraId="6DA5995A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Cigarette smoking</w:t>
            </w:r>
          </w:p>
        </w:tc>
        <w:tc>
          <w:tcPr>
            <w:tcW w:w="7509" w:type="dxa"/>
          </w:tcPr>
          <w:p w14:paraId="04F8F13C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Whether smokes cigarettes or not.</w:t>
            </w:r>
          </w:p>
        </w:tc>
      </w:tr>
      <w:tr w:rsidR="006C7066" w:rsidRPr="0052729D" w14:paraId="5EFCF8CA" w14:textId="77777777" w:rsidTr="009C562A">
        <w:tc>
          <w:tcPr>
            <w:tcW w:w="1576" w:type="dxa"/>
          </w:tcPr>
          <w:p w14:paraId="284AF001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HIV status</w:t>
            </w:r>
          </w:p>
        </w:tc>
        <w:tc>
          <w:tcPr>
            <w:tcW w:w="7509" w:type="dxa"/>
          </w:tcPr>
          <w:p w14:paraId="5DE61693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Whether positive or negative at baseline.</w:t>
            </w:r>
          </w:p>
        </w:tc>
      </w:tr>
      <w:tr w:rsidR="006C7066" w:rsidRPr="0052729D" w14:paraId="0C46DCF5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76" w:type="dxa"/>
          </w:tcPr>
          <w:p w14:paraId="29E15319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Use of cardioactive medication</w:t>
            </w:r>
          </w:p>
        </w:tc>
        <w:tc>
          <w:tcPr>
            <w:tcW w:w="7509" w:type="dxa"/>
          </w:tcPr>
          <w:p w14:paraId="443DA745" w14:textId="77777777" w:rsidR="006C7066" w:rsidRPr="00E878D1" w:rsidRDefault="006C7066" w:rsidP="00D24520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8D1">
              <w:rPr>
                <w:rFonts w:ascii="Times New Roman" w:hAnsi="Times New Roman" w:cs="Times New Roman"/>
                <w:sz w:val="24"/>
                <w:szCs w:val="24"/>
              </w:rPr>
              <w:t>Whether the patient was using β-blockers, ACE-I, statins, mineralocorticoid receptor antagonist (MRA), calcium channel blocker (CCB), diuretics, dexrazoxane or angiotensin receptor blocker (ARB)</w:t>
            </w:r>
          </w:p>
        </w:tc>
      </w:tr>
    </w:tbl>
    <w:p w14:paraId="15976325" w14:textId="77777777" w:rsidR="006C7066" w:rsidRPr="00130C45" w:rsidRDefault="006C7066" w:rsidP="006C7066">
      <w:pPr>
        <w:spacing w:line="259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14:paraId="6BC3487F" w14:textId="77777777" w:rsidR="006C7066" w:rsidRPr="00130C45" w:rsidRDefault="006C7066" w:rsidP="006C7066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</w:p>
    <w:p w14:paraId="3CBE6709" w14:textId="621FE0BD" w:rsidR="009C562A" w:rsidRDefault="009C562A" w:rsidP="009C562A">
      <w:pPr>
        <w:pStyle w:val="Caption"/>
        <w:keepNext/>
      </w:pPr>
      <w:bookmarkStart w:id="8" w:name="_Toc32134763"/>
      <w:r>
        <w:t xml:space="preserve">Supplemantary table </w:t>
      </w:r>
      <w:r>
        <w:fldChar w:fldCharType="begin"/>
      </w:r>
      <w:r>
        <w:instrText xml:space="preserve"> SEQ Supplemantary_table \* ARABIC </w:instrText>
      </w:r>
      <w:r>
        <w:fldChar w:fldCharType="separate"/>
      </w:r>
      <w:r>
        <w:t>3</w:t>
      </w:r>
      <w:r>
        <w:fldChar w:fldCharType="end"/>
      </w:r>
      <w:r>
        <w:t>: Non anthracycline therapy administered</w:t>
      </w:r>
      <w:bookmarkEnd w:id="8"/>
    </w:p>
    <w:tbl>
      <w:tblPr>
        <w:tblStyle w:val="PlainTable1"/>
        <w:tblW w:w="9265" w:type="dxa"/>
        <w:tblLook w:val="04A0" w:firstRow="1" w:lastRow="0" w:firstColumn="1" w:lastColumn="0" w:noHBand="0" w:noVBand="1"/>
      </w:tblPr>
      <w:tblGrid>
        <w:gridCol w:w="222"/>
        <w:gridCol w:w="2070"/>
        <w:gridCol w:w="1167"/>
        <w:gridCol w:w="1047"/>
        <w:gridCol w:w="1167"/>
        <w:gridCol w:w="976"/>
        <w:gridCol w:w="2616"/>
      </w:tblGrid>
      <w:tr w:rsidR="006C7066" w:rsidRPr="0052729D" w14:paraId="2D2BF343" w14:textId="77777777" w:rsidTr="009C5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673F66C" w14:textId="77777777" w:rsidR="006C7066" w:rsidRPr="00130C45" w:rsidRDefault="006C7066" w:rsidP="00D2452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9C15338" w14:textId="6B1D3F2D" w:rsidR="006C7066" w:rsidRPr="00130C45" w:rsidRDefault="006C7066" w:rsidP="00D24520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All (n=141)</w:t>
            </w:r>
            <w:r w:rsidR="00DF2D77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8A257D9" w14:textId="5687D488" w:rsidR="006C7066" w:rsidRPr="00130C45" w:rsidRDefault="006C7066" w:rsidP="00D24520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Cases (n=39)</w:t>
            </w:r>
            <w:r w:rsidR="00DF2D77" w:rsidRPr="00DF2D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710E4C3" w14:textId="79C3DEC1" w:rsidR="006C7066" w:rsidRPr="00130C45" w:rsidRDefault="006C7066" w:rsidP="00D24520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Controls (n=102)</w:t>
            </w:r>
            <w:r w:rsidR="00DF2D77" w:rsidRPr="00DF2D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E25113D" w14:textId="09BA82CC" w:rsidR="006C7066" w:rsidRPr="00130C45" w:rsidRDefault="006C7066" w:rsidP="00D24520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  <w:r w:rsidR="00DF2D77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132980" w14:textId="13472B88" w:rsidR="006C7066" w:rsidRPr="00130C45" w:rsidRDefault="006C7066" w:rsidP="00D24520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  <w:r w:rsidR="00DF2D77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</w:tr>
      <w:tr w:rsidR="006C7066" w:rsidRPr="0052729D" w14:paraId="611EDB77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A200A10" w14:textId="77777777" w:rsidR="006C7066" w:rsidRPr="00130C45" w:rsidRDefault="006C7066" w:rsidP="00D2452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Alkylating agent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A2ECE8C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136 (96.5)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0B69651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38 (97.4)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7B189E0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98 (96.1)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033828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8E31F1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1.56 (0.17-14.33)</w:t>
            </w:r>
          </w:p>
        </w:tc>
      </w:tr>
      <w:tr w:rsidR="006C7066" w:rsidRPr="0052729D" w14:paraId="79A83B52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7D65A2A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54DF9B6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Absolute Dose, mg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B71B014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4460.7 ± 2579.3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37CDDEF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4388.7 ± 1450.4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85AFE8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4488.6 ± 2907.6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5E35FAD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DA597F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30FCDA72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5F89EFE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DF846D2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Dose-BSA Factored, mg/m</w:t>
            </w:r>
            <w:r w:rsidRPr="00130C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8C1CA3E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2451.6 ± 1401.6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D789259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2333.5 ± 1009.0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5935AC4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2497.4 ± 1529.0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10DE38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DF639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2553A1A4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F551689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E4E7EC8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Cyclophosphamide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4627F9F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131 (92.9)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1C6BCBF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36 (92.3)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043B7E3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95 (93.1)</w:t>
            </w:r>
          </w:p>
        </w:tc>
        <w:tc>
          <w:tcPr>
            <w:tcW w:w="97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0F26AC4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0.752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F698E1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60DAF842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46CE95F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1419E5B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Dacarbazine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D64CF6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 (2.1)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F7604D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(2.6)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DA4F5E3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(2.0)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C79E55F" w14:textId="77777777" w:rsidR="006C7066" w:rsidRPr="00130C45" w:rsidRDefault="006C7066" w:rsidP="00D2452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615A87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3F456F2C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B72E8B2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255E403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Ifosfamide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418F76C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CD8A3C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(2.6)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E0FF651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1(1.0)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5693FEB" w14:textId="77777777" w:rsidR="006C7066" w:rsidRPr="00130C45" w:rsidRDefault="006C7066" w:rsidP="00D2452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C5E095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3349BB5B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5C6C9EB" w14:textId="77777777" w:rsidR="006C7066" w:rsidRPr="00130C45" w:rsidRDefault="006C7066" w:rsidP="00D2452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Antimetabolite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63D1B88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39 (27.7)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155FE1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 (23.1)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B023983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30 (29.4)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65190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0.660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7EE5FC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0.72 (0.31-1.70)</w:t>
            </w:r>
          </w:p>
        </w:tc>
      </w:tr>
      <w:tr w:rsidR="006C7066" w:rsidRPr="0052729D" w14:paraId="0A24683E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EA55E7D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9269F61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Absolute Dose, mg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9BD080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8536.0 ± 23175.9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3E9F2CC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4147.8 ± 1345.3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1145880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9852.4 ± 26373.3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493D88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E77FF3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6ED06555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1BFD9A2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80CDDCA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Dose-BSA Factored, mg/m</w:t>
            </w:r>
            <w:r w:rsidRPr="00130C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0A5623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4721.4 ± 12687.6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3B62EB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2295.5 ± 706.1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F2B5F5F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5462.1 ± 14436.2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DF6BC7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AA06B7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5DEF13AD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BCC5953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98BB145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 Fluorouracil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F1CA863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35 (24.8)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974D5C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 (23.1)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239F7D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26 (25.5)</w:t>
            </w:r>
          </w:p>
        </w:tc>
        <w:tc>
          <w:tcPr>
            <w:tcW w:w="97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4E647C0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5B7D9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07DCE92A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7D2C8A9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C68DC0E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Capecitabine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DCEC4B3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05CE909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764C839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(2.0)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0621743" w14:textId="77777777" w:rsidR="006C7066" w:rsidRPr="00130C45" w:rsidRDefault="006C7066" w:rsidP="00D2452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233609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53920C23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0E9A755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EC52EC2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Cytarabine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D9FC23C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4EB5802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39C00E5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(2.0)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2DB2590" w14:textId="77777777" w:rsidR="006C7066" w:rsidRPr="00130C45" w:rsidRDefault="006C7066" w:rsidP="00D2452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3CCD05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0259C8E2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4E873F5" w14:textId="77777777" w:rsidR="006C7066" w:rsidRPr="00130C45" w:rsidRDefault="006C7066" w:rsidP="00D2452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Taxane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4B53E4C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72 (51.1)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823973E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20 (51.3)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86DF0C0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52 (51.0)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B9DDA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7A0D37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1.01 (0.48-2.12)</w:t>
            </w:r>
          </w:p>
        </w:tc>
      </w:tr>
      <w:tr w:rsidR="006C7066" w:rsidRPr="0052729D" w14:paraId="73E55E33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97C27AB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B0AB359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Absolute Dose, mg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48F413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799.2 ± 404.3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6C59354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933.2 ± 392.6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4B1C7C6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748.4 ± 400.8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349AAA2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23C911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564B6167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15BC03D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7EACBC8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Dose-BSA Factored, mg/m</w:t>
            </w:r>
            <w:r w:rsidRPr="00130C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598BFE1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441.6 ± 216.3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005D6E8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520.5 ± 200.8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B1256A7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216.3 ± 441.6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9930C60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4E9231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0E46951E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4E49326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FEDCD67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Docetaxel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0EDD5E4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34 (24.1)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F334DD8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8 (20.5)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E3E0BEB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26 (25.5)</w:t>
            </w:r>
          </w:p>
        </w:tc>
        <w:tc>
          <w:tcPr>
            <w:tcW w:w="97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D5C15E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C12F7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1D42147D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4D34BCF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910141B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Paclitaxel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8E0587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38 (27.0)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1AF2626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12 (30.8)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75753F3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26 (25.5)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C3C6A70" w14:textId="77777777" w:rsidR="006C7066" w:rsidRPr="00130C45" w:rsidRDefault="006C7066" w:rsidP="00D2452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CC50BC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5E57EEF8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B18D13C" w14:textId="77777777" w:rsidR="006C7066" w:rsidRPr="00130C45" w:rsidRDefault="006C7066" w:rsidP="00D2452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Monoclonal Antibody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21FABC2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24 (17.0)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40D1DD3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 (10.3)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63DF428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20 (19.6)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CC677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AA1E45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0.47 (0.15-1.48)</w:t>
            </w:r>
          </w:p>
        </w:tc>
      </w:tr>
      <w:tr w:rsidR="006C7066" w:rsidRPr="0052729D" w14:paraId="72A35174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E7778E2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865594E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Absolute Dose, mg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31FF20E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3873.7 ± 2526.0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B95F281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1892.5 ± 912.6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2851C87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4270.0 ± 2569.2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7A41C77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E4EEA1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39CA5F56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E78CD77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B6F5805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Dose-BSA Factored, mg/m</w:t>
            </w:r>
            <w:r w:rsidRPr="00130C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990B984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2069.2 ± 1348.1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029E6F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1021.7 ± 493.0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28EDF90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2278.8 ± 1372.7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E234983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C81B42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3342A3F4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3B82E1A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BCD5656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Rituximab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F76189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10 (7.1)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09AB36C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(5.1)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9E20A28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8 (7.8)</w:t>
            </w:r>
          </w:p>
        </w:tc>
        <w:tc>
          <w:tcPr>
            <w:tcW w:w="97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FAC64C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A3856F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58A44335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E989D10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FCE24FC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Trastuzumab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26DBDE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14 (9.9)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71AFF0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(5.1)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1B6FE58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12 (11.8)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4487367" w14:textId="77777777" w:rsidR="006C7066" w:rsidRPr="00130C45" w:rsidRDefault="006C7066" w:rsidP="00D2452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7FEC9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7B1039F2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0B326BD" w14:textId="77777777" w:rsidR="006C7066" w:rsidRPr="00130C45" w:rsidRDefault="006C7066" w:rsidP="00D2452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Vinca Alkaloid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3E1FC5F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18 (12.8)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F9BAEF0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 (10.3)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29312A4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14 (13.7)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3EF552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0.779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56192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0.72 (0.22-2.33)</w:t>
            </w:r>
          </w:p>
        </w:tc>
      </w:tr>
      <w:tr w:rsidR="006C7066" w:rsidRPr="0052729D" w14:paraId="1087EAC2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88BE303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990CBB8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Absolute Dose, mg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2E445A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21.7 ± 31.8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A521D5F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32.0 ± 41.3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B3D9468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18.7 ± 29.7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4736441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D9B880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1.01 (0.98-1.04)</w:t>
            </w:r>
          </w:p>
        </w:tc>
      </w:tr>
      <w:tr w:rsidR="006C7066" w:rsidRPr="0052729D" w14:paraId="3A78090A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945C94D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5486AFD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Dose-BSA Factored, mg/m</w:t>
            </w:r>
            <w:r w:rsidRPr="00130C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63D217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11.3 ± 16.1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23A6704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17.5 ± 21.7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58EDD8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9.6 ± 14.6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4D5F636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5351D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1.03 (0.97-1.09)</w:t>
            </w:r>
          </w:p>
        </w:tc>
      </w:tr>
      <w:tr w:rsidR="006C7066" w:rsidRPr="0052729D" w14:paraId="715981F0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9FF8D64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BDFF71D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Vinblastine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A17FFC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5BD6DBC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(2.6)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F278E5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97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B8CF05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EDAED9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05E5FB25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1DABC7E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F7DDB42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Vincristine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A513044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16 (11.3)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7B590DF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 (7.7)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B8391A2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13 (12.7)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176A66E" w14:textId="77777777" w:rsidR="006C7066" w:rsidRPr="00130C45" w:rsidRDefault="006C7066" w:rsidP="00D2452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DB94B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2DB652FD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2E05DCE" w14:textId="77777777" w:rsidR="006C7066" w:rsidRPr="00130C45" w:rsidRDefault="006C7066" w:rsidP="00D2452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Steroid drug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47B9DD9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23 (16.3)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5636AE5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6 (15.4)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2089D98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17 (16.7)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92B838" w14:textId="77777777" w:rsidR="006C7066" w:rsidRPr="00130C45" w:rsidRDefault="006C7066" w:rsidP="00D24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B21AA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0.91 (0.33-2.51)</w:t>
            </w:r>
          </w:p>
        </w:tc>
      </w:tr>
      <w:tr w:rsidR="006C7066" w:rsidRPr="0052729D" w14:paraId="5A07FE26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69A7C37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F9C2EAF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Absolute Dose, mg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5B7CE36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1936.0 ± 3264.8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76EB0E7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848.7 ± 705.3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C856C19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2319.8 ± 3728.3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59107A6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DF3BD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0A1104CC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FADDD7B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C16A42E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Dose-BSA Factored, mg/m</w:t>
            </w:r>
            <w:r w:rsidRPr="00130C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BA5532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1109.0 ± 2079.5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073BBDC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494.4 ± 434.6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2FAC5B4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1326.4 ± 2387.3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97F81F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AA29C3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</w:tr>
      <w:tr w:rsidR="006C7066" w:rsidRPr="0052729D" w14:paraId="68B06F79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9F1A940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6F6DD5B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Dexamethasone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796D57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 (3.5)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088BF53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(5.1)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920C5B8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 (2.9)</w:t>
            </w:r>
          </w:p>
        </w:tc>
        <w:tc>
          <w:tcPr>
            <w:tcW w:w="97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94DF344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A6638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1B937A9C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3B15BFC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622A305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Hydrocortisone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9D4D3C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4CE4945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(2.6)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8DDC830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F55B766" w14:textId="77777777" w:rsidR="006C7066" w:rsidRPr="00130C45" w:rsidRDefault="006C7066" w:rsidP="00D2452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69955B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3F26574C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3D36F25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15B81F5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Prednisone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E957198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16 (11.3)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63382A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3 (7.7)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128F200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13 (12.7)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AD8CAF5" w14:textId="77777777" w:rsidR="006C7066" w:rsidRPr="00130C45" w:rsidRDefault="006C7066" w:rsidP="00D2452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EEF47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474B7DF8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CEFCA10" w14:textId="77777777" w:rsidR="006C7066" w:rsidRPr="00130C45" w:rsidRDefault="006C7066" w:rsidP="00D2452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Topoisomerase II Inhibitor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6279E47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 (2.8)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8EFFB29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98326E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 (3.9)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78C2BC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D39D6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06B8742C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62C7A6C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3614737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Absolute Dose, mg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5F5FBD9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985.0 ± 885.3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8CB78C4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0E4D53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985.0 ± 885.3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5D55D6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Null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6DF764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4BEA7A98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D4D8257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18E32F3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Dose-BSA Factored, mg/m</w:t>
            </w:r>
            <w:r w:rsidRPr="00130C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7456B1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511.7 ± 474.5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D2B4BBF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1059CC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511.7 ± 474.5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F5D4A13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Null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EFA06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0995255C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D6E02DD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070DCD6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Etoposide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4D4BDA9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 (2.8)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07CAD8C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A1ABF30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4 (3.9)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F25819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EA0A2D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751CFACB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9C6F910" w14:textId="77777777" w:rsidR="006C7066" w:rsidRPr="00130C45" w:rsidRDefault="006C7066" w:rsidP="00D24520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Platinum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14DAEF6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C3DC62B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8E83F4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(2.0)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D16B73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140BFF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3C32732B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3CE30AF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82E9BFD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Absolute Dose, mg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F2320D6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125.0 ± 35.4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1AF891C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62BC913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125.0 ± 35.4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8CD7F78" w14:textId="77777777" w:rsidR="006C7066" w:rsidRPr="00130C45" w:rsidRDefault="006C7066" w:rsidP="00D24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A006D1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7066" w:rsidRPr="0052729D" w14:paraId="799AE627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678FA08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A1CF4B4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Dose-BSA Factored, mg/m</w:t>
            </w:r>
            <w:r w:rsidRPr="00130C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3E4512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67.9 ± 23.7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90AA5C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88798B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67.9 ± 23.7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4FB80BF" w14:textId="77777777" w:rsidR="006C7066" w:rsidRPr="00130C45" w:rsidRDefault="006C7066" w:rsidP="00D24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87036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7066" w:rsidRPr="0052729D" w14:paraId="3FFA1086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67C4EB1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9E3C521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Cisplatin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20E3AE3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6F5DD46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13692D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(2.0)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5ACBFE3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4A49B2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225288D6" w14:textId="77777777" w:rsidTr="00D24520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58BCDE" w14:textId="77777777" w:rsidR="006C7066" w:rsidRPr="00130C45" w:rsidRDefault="006C7066" w:rsidP="00D24520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Other class Unlisted/Duplicated</w:t>
            </w:r>
          </w:p>
        </w:tc>
      </w:tr>
      <w:tr w:rsidR="006C7066" w:rsidRPr="0052729D" w14:paraId="47C69887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3583AB4" w14:textId="77777777" w:rsidR="006C7066" w:rsidRPr="00130C45" w:rsidRDefault="006C7066" w:rsidP="00D2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AD0F7BC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All Trans Retinoid Acid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DBCDA2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(0.7)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10A4245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19D0FB5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97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17066E7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285EB9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3D2200EB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8D64B29" w14:textId="77777777" w:rsidR="006C7066" w:rsidRPr="00130C45" w:rsidRDefault="006C7066" w:rsidP="00D245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00E2EC0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Bleomycin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B2440D5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8D8175A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(2.6)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504A7CB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EA5F741" w14:textId="77777777" w:rsidR="006C7066" w:rsidRPr="00130C45" w:rsidRDefault="006C7066" w:rsidP="00D2452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0B50A8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35FB4BE8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C8A0093" w14:textId="77777777" w:rsidR="006C7066" w:rsidRPr="00130C45" w:rsidRDefault="006C7066" w:rsidP="00D245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544F300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Capecitabine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12B1A8C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DA634A4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(2.6)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C3E51DE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DD786C5" w14:textId="77777777" w:rsidR="006C7066" w:rsidRPr="00130C45" w:rsidRDefault="006C7066" w:rsidP="00D2452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59F43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0E35EBDF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49BE045" w14:textId="77777777" w:rsidR="006C7066" w:rsidRPr="00130C45" w:rsidRDefault="006C7066" w:rsidP="00D245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AF77A80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Docetaxel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3236C9F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2 (1.4)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10AEDCB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(2.6)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B518360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129D2D1" w14:textId="77777777" w:rsidR="006C7066" w:rsidRPr="00130C45" w:rsidRDefault="006C7066" w:rsidP="00D2452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8966B5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4D4DFA06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5A693BE" w14:textId="77777777" w:rsidR="006C7066" w:rsidRPr="00130C45" w:rsidRDefault="006C7066" w:rsidP="00D245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27EAFAD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Doxorubicin (Conventional)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126368B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(0.7)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2076343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077E96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3426CD0" w14:textId="77777777" w:rsidR="006C7066" w:rsidRPr="00130C45" w:rsidRDefault="006C7066" w:rsidP="00D2452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553138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2ECCE548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37D995D" w14:textId="77777777" w:rsidR="006C7066" w:rsidRPr="00130C45" w:rsidRDefault="006C7066" w:rsidP="00D245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4714ED0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Ifosfamide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9E96D16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(0.7)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B0AB192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44AF9F2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B636C77" w14:textId="77777777" w:rsidR="006C7066" w:rsidRPr="00130C45" w:rsidRDefault="006C7066" w:rsidP="00D2452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44E9DF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26E104DC" w14:textId="77777777" w:rsidTr="009C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584C9C3" w14:textId="77777777" w:rsidR="006C7066" w:rsidRPr="00130C45" w:rsidRDefault="006C7066" w:rsidP="00D245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23CDFB5" w14:textId="77777777" w:rsidR="006C7066" w:rsidRPr="00130C45" w:rsidRDefault="006C7066" w:rsidP="00D24520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Methylprednisone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45F007E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(0.7)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BA29E2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89A9A88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E27351D" w14:textId="77777777" w:rsidR="006C7066" w:rsidRPr="00130C45" w:rsidRDefault="006C7066" w:rsidP="00D2452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2D6DFA" w14:textId="77777777" w:rsidR="006C7066" w:rsidRPr="00130C45" w:rsidRDefault="006C7066" w:rsidP="00D24520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66" w:rsidRPr="0052729D" w14:paraId="6BB7C8B9" w14:textId="77777777" w:rsidTr="009C562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1843B20" w14:textId="77777777" w:rsidR="006C7066" w:rsidRPr="00130C45" w:rsidRDefault="006C7066" w:rsidP="00D245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8DCEDE0" w14:textId="77777777" w:rsidR="006C7066" w:rsidRPr="00130C45" w:rsidRDefault="006C7066" w:rsidP="00D24520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Paclitaxel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E9E8D80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(0.7)</w:t>
            </w:r>
          </w:p>
        </w:tc>
        <w:tc>
          <w:tcPr>
            <w:tcW w:w="10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3A7739E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0(0.0)</w:t>
            </w:r>
          </w:p>
        </w:tc>
        <w:tc>
          <w:tcPr>
            <w:tcW w:w="1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A0B41A6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4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CE2618F" w14:textId="77777777" w:rsidR="006C7066" w:rsidRPr="00130C45" w:rsidRDefault="006C7066" w:rsidP="00D2452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C58624" w14:textId="77777777" w:rsidR="006C7066" w:rsidRPr="00130C45" w:rsidRDefault="006C7066" w:rsidP="00D24520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049C6383" w14:textId="77777777" w:rsidR="006C7066" w:rsidRPr="00130C45" w:rsidRDefault="006C7066" w:rsidP="006C7066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1C17C76" w14:textId="77777777" w:rsidR="00BD3466" w:rsidRDefault="00BD3466"/>
    <w:sectPr w:rsidR="00BD3466" w:rsidSect="009A14E0">
      <w:headerReference w:type="even" r:id="rId8"/>
      <w:headerReference w:type="default" r:id="rId9"/>
      <w:footerReference w:type="default" r:id="rId10"/>
      <w:headerReference w:type="first" r:id="rId11"/>
      <w:footnotePr>
        <w:numFmt w:val="lowerLetter"/>
      </w:footnotePr>
      <w:type w:val="continuous"/>
      <w:pgSz w:w="12240" w:h="15840"/>
      <w:pgMar w:top="1440" w:right="1440" w:bottom="1440" w:left="1440" w:header="720" w:footer="720" w:gutter="0"/>
      <w:pgNumType w:fmt="upp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AF060" w14:textId="77777777" w:rsidR="00AC3F5A" w:rsidRDefault="00AC3F5A" w:rsidP="006C7066">
      <w:pPr>
        <w:spacing w:after="0" w:line="240" w:lineRule="auto"/>
      </w:pPr>
      <w:r>
        <w:separator/>
      </w:r>
    </w:p>
  </w:endnote>
  <w:endnote w:type="continuationSeparator" w:id="0">
    <w:p w14:paraId="17C28E00" w14:textId="77777777" w:rsidR="00AC3F5A" w:rsidRDefault="00AC3F5A" w:rsidP="006C7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1603911"/>
      <w:docPartObj>
        <w:docPartGallery w:val="Page Numbers (Bottom of Page)"/>
        <w:docPartUnique/>
      </w:docPartObj>
    </w:sdtPr>
    <w:sdtEndPr/>
    <w:sdtContent>
      <w:p w14:paraId="0F4DA8AB" w14:textId="77777777" w:rsidR="006C7066" w:rsidRDefault="006C7066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35</w:t>
        </w:r>
        <w:r>
          <w:fldChar w:fldCharType="end"/>
        </w:r>
      </w:p>
    </w:sdtContent>
  </w:sdt>
  <w:p w14:paraId="314C511C" w14:textId="77777777" w:rsidR="006C7066" w:rsidRDefault="006C7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E992F" w14:textId="77777777" w:rsidR="00AC3F5A" w:rsidRDefault="00AC3F5A" w:rsidP="006C7066">
      <w:pPr>
        <w:spacing w:after="0" w:line="240" w:lineRule="auto"/>
      </w:pPr>
      <w:r>
        <w:separator/>
      </w:r>
    </w:p>
  </w:footnote>
  <w:footnote w:type="continuationSeparator" w:id="0">
    <w:p w14:paraId="5DE4AA0B" w14:textId="77777777" w:rsidR="00AC3F5A" w:rsidRDefault="00AC3F5A" w:rsidP="006C7066">
      <w:pPr>
        <w:spacing w:after="0" w:line="240" w:lineRule="auto"/>
      </w:pPr>
      <w:r>
        <w:continuationSeparator/>
      </w:r>
    </w:p>
  </w:footnote>
  <w:footnote w:id="1">
    <w:p w14:paraId="5C0D9CC1" w14:textId="2710E845" w:rsidR="00DF2D77" w:rsidRPr="00DF2D77" w:rsidRDefault="00DF2D77">
      <w:pPr>
        <w:pStyle w:val="FootnoteText"/>
        <w:rPr>
          <w:lang w:val="sw-KE"/>
        </w:rPr>
      </w:pPr>
      <w:r>
        <w:rPr>
          <w:rStyle w:val="FootnoteReference"/>
        </w:rPr>
        <w:footnoteRef/>
      </w:r>
      <w:r>
        <w:t xml:space="preserve"> </w:t>
      </w:r>
      <w:r w:rsidRPr="42A5F80B">
        <w:rPr>
          <w:rFonts w:eastAsia="Tahoma" w:cs="Tahoma"/>
          <w:lang w:val="sw-KE"/>
        </w:rPr>
        <w:t xml:space="preserve">Values presented either </w:t>
      </w:r>
      <w:r w:rsidRPr="00E878D1">
        <w:rPr>
          <w:rFonts w:eastAsia="Tahoma" w:cs="Tahoma"/>
          <w:lang w:val="sw-KE"/>
        </w:rPr>
        <w:t>means ± standard deviation</w:t>
      </w:r>
      <w:r w:rsidRPr="004E2B78">
        <w:rPr>
          <w:rFonts w:eastAsia="Tahoma" w:cs="Tahoma"/>
          <w:lang w:val="sw-KE"/>
        </w:rPr>
        <w:t xml:space="preserve"> or </w:t>
      </w:r>
      <w:r w:rsidRPr="00E878D1">
        <w:rPr>
          <w:rFonts w:eastAsia="Tahoma" w:cs="Tahoma"/>
          <w:lang w:val="sw-KE"/>
        </w:rPr>
        <w:t>counts (percentage)</w:t>
      </w:r>
    </w:p>
  </w:footnote>
  <w:footnote w:id="2">
    <w:p w14:paraId="53388667" w14:textId="70AA0381" w:rsidR="00DF2D77" w:rsidRPr="00DF2D77" w:rsidRDefault="00DF2D77">
      <w:pPr>
        <w:pStyle w:val="FootnoteText"/>
        <w:rPr>
          <w:lang w:val="sw-KE"/>
        </w:rPr>
      </w:pPr>
      <w:r>
        <w:rPr>
          <w:rStyle w:val="FootnoteReference"/>
        </w:rPr>
        <w:footnoteRef/>
      </w:r>
      <w:r>
        <w:t xml:space="preserve"> </w:t>
      </w:r>
      <w:r w:rsidRPr="42A5F80B">
        <w:rPr>
          <w:rFonts w:eastAsia="Tahoma" w:cs="Tahoma"/>
          <w:lang w:val="sw-KE"/>
        </w:rPr>
        <w:t>P value for differences in means or percentages between cases and controls</w:t>
      </w:r>
    </w:p>
    <w:bookmarkStart w:id="9" w:name="_GoBack"/>
    <w:bookmarkEnd w:id="9"/>
  </w:footnote>
  <w:footnote w:id="3">
    <w:p w14:paraId="2C5DC92A" w14:textId="6C794899" w:rsidR="00DF2D77" w:rsidRPr="00DF2D77" w:rsidRDefault="00DF2D77">
      <w:pPr>
        <w:pStyle w:val="FootnoteText"/>
        <w:rPr>
          <w:lang w:val="sw-KE"/>
        </w:rPr>
      </w:pPr>
      <w:bookmarkStart w:id="10" w:name="_GoBack"/>
      <w:bookmarkEnd w:id="10"/>
      <w:r>
        <w:rPr>
          <w:rStyle w:val="FootnoteReference"/>
        </w:rPr>
        <w:footnoteRef/>
      </w:r>
      <w:r>
        <w:t xml:space="preserve"> </w:t>
      </w:r>
      <w:r w:rsidRPr="42A5F80B">
        <w:rPr>
          <w:rFonts w:eastAsia="Tahoma" w:cs="Tahoma"/>
          <w:lang w:val="sw-KE"/>
        </w:rPr>
        <w:t>OR=odds ratio (of being a case</w:t>
      </w:r>
      <w:r>
        <w:rPr>
          <w:rFonts w:eastAsia="Tahoma" w:cs="Tahoma"/>
          <w:lang w:val="sw-KE"/>
        </w:rPr>
        <w:t>) with confidence intervals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D29EA" w14:textId="77777777" w:rsidR="006C7066" w:rsidRDefault="006C7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5A468" w14:textId="77777777" w:rsidR="006C7066" w:rsidRDefault="006C70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D844F" w14:textId="77777777" w:rsidR="006C7066" w:rsidRDefault="006C7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5909"/>
    <w:multiLevelType w:val="hybridMultilevel"/>
    <w:tmpl w:val="19287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2239"/>
    <w:multiLevelType w:val="multilevel"/>
    <w:tmpl w:val="1520E342"/>
    <w:styleLink w:val="Style1"/>
    <w:lvl w:ilvl="0">
      <w:start w:val="1"/>
      <w:numFmt w:val="upperRoman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656"/>
        </w:tabs>
        <w:ind w:left="165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1A403EE"/>
    <w:multiLevelType w:val="hybridMultilevel"/>
    <w:tmpl w:val="39282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41E7D"/>
    <w:multiLevelType w:val="hybridMultilevel"/>
    <w:tmpl w:val="B4F46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F2B9E"/>
    <w:multiLevelType w:val="hybridMultilevel"/>
    <w:tmpl w:val="F63AC3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D276A"/>
    <w:multiLevelType w:val="hybridMultilevel"/>
    <w:tmpl w:val="6A664D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66"/>
    <w:rsid w:val="00083E9D"/>
    <w:rsid w:val="003C7322"/>
    <w:rsid w:val="00504FCC"/>
    <w:rsid w:val="00544424"/>
    <w:rsid w:val="006C7066"/>
    <w:rsid w:val="007177D5"/>
    <w:rsid w:val="00821362"/>
    <w:rsid w:val="008B445A"/>
    <w:rsid w:val="009C562A"/>
    <w:rsid w:val="009C5B08"/>
    <w:rsid w:val="00AC3F5A"/>
    <w:rsid w:val="00AE2F7B"/>
    <w:rsid w:val="00BD3466"/>
    <w:rsid w:val="00D53FE1"/>
    <w:rsid w:val="00D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70063C"/>
  <w15:chartTrackingRefBased/>
  <w15:docId w15:val="{0D3D365A-83E2-433C-B57C-73C19DD4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066"/>
    <w:pPr>
      <w:spacing w:line="360" w:lineRule="auto"/>
    </w:pPr>
    <w:rPr>
      <w:rFonts w:ascii="Tahoma" w:hAnsi="Tahoma"/>
      <w:noProof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7066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7066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7066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7066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70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autoRedefine/>
    <w:uiPriority w:val="99"/>
    <w:unhideWhenUsed/>
    <w:rsid w:val="006C7066"/>
    <w:pPr>
      <w:spacing w:after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7066"/>
    <w:rPr>
      <w:rFonts w:ascii="Times New Roman" w:eastAsiaTheme="majorEastAsia" w:hAnsi="Times New Roman" w:cs="Times New Roman"/>
      <w:b/>
      <w:noProof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7066"/>
    <w:rPr>
      <w:rFonts w:ascii="Tahoma" w:eastAsiaTheme="majorEastAsia" w:hAnsi="Tahoma" w:cstheme="majorBidi"/>
      <w:b/>
      <w:noProof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C7066"/>
    <w:rPr>
      <w:rFonts w:ascii="Tahoma" w:eastAsiaTheme="majorEastAsia" w:hAnsi="Tahoma" w:cstheme="majorBidi"/>
      <w:b/>
      <w:noProof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C7066"/>
    <w:rPr>
      <w:rFonts w:ascii="Tahoma" w:eastAsiaTheme="majorEastAsia" w:hAnsi="Tahoma" w:cstheme="majorBidi"/>
      <w:i/>
      <w:iCs/>
      <w:noProof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C7066"/>
    <w:rPr>
      <w:rFonts w:asciiTheme="majorHAnsi" w:eastAsiaTheme="majorEastAsia" w:hAnsiTheme="majorHAnsi" w:cstheme="majorBidi"/>
      <w:noProof/>
      <w:color w:val="2F5496" w:themeColor="accent1" w:themeShade="BF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C7066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6C7066"/>
    <w:pPr>
      <w:spacing w:after="0"/>
      <w:jc w:val="center"/>
    </w:pPr>
    <w:rPr>
      <w:rFonts w:ascii="Calibri" w:hAnsi="Calibri" w:cs="Calibr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C7066"/>
    <w:rPr>
      <w:rFonts w:ascii="Tahoma" w:hAnsi="Tahoma"/>
      <w:noProof/>
      <w:lang w:val="en-GB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6C7066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C7066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ListParagraphChar"/>
    <w:link w:val="EndNoteBibliography"/>
    <w:rsid w:val="006C7066"/>
    <w:rPr>
      <w:rFonts w:ascii="Calibri" w:hAnsi="Calibri" w:cs="Calibri"/>
      <w:noProof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C706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C7066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706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706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C7066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C706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Header">
    <w:name w:val="header"/>
    <w:basedOn w:val="Normal"/>
    <w:link w:val="HeaderChar"/>
    <w:uiPriority w:val="99"/>
    <w:unhideWhenUsed/>
    <w:rsid w:val="006C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066"/>
    <w:rPr>
      <w:rFonts w:ascii="Tahoma" w:hAnsi="Tahoma"/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C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066"/>
    <w:rPr>
      <w:rFonts w:ascii="Tahoma" w:hAnsi="Tahoma"/>
      <w:noProof/>
      <w:lang w:val="en-GB"/>
    </w:rPr>
  </w:style>
  <w:style w:type="table" w:styleId="TableGrid">
    <w:name w:val="Table Grid"/>
    <w:basedOn w:val="TableNormal"/>
    <w:uiPriority w:val="39"/>
    <w:rsid w:val="006C706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7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066"/>
    <w:rPr>
      <w:rFonts w:ascii="Segoe UI" w:hAnsi="Segoe UI" w:cs="Segoe UI"/>
      <w:noProof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C7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7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7066"/>
    <w:rPr>
      <w:rFonts w:ascii="Tahoma" w:hAnsi="Tahoma"/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066"/>
    <w:rPr>
      <w:rFonts w:ascii="Tahoma" w:hAnsi="Tahoma"/>
      <w:b/>
      <w:bCs/>
      <w:noProof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70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7066"/>
    <w:rPr>
      <w:rFonts w:ascii="Tahoma" w:hAnsi="Tahoma"/>
      <w:noProof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C7066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066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C7066"/>
    <w:rPr>
      <w:color w:val="808080"/>
    </w:rPr>
  </w:style>
  <w:style w:type="paragraph" w:styleId="NoSpacing">
    <w:name w:val="No Spacing"/>
    <w:uiPriority w:val="1"/>
    <w:qFormat/>
    <w:rsid w:val="006C7066"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6C7066"/>
    <w:rPr>
      <w:b/>
      <w:bCs/>
    </w:rPr>
  </w:style>
  <w:style w:type="paragraph" w:styleId="BodyText">
    <w:name w:val="Body Text"/>
    <w:basedOn w:val="Normal"/>
    <w:link w:val="BodyTextChar"/>
    <w:rsid w:val="006C7066"/>
    <w:pPr>
      <w:spacing w:after="0" w:line="240" w:lineRule="auto"/>
    </w:pPr>
    <w:rPr>
      <w:rFonts w:ascii="Arial" w:eastAsia="Times New Roman" w:hAnsi="Arial" w:cs="Arial"/>
      <w:i/>
      <w:iCs/>
      <w:sz w:val="20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6C7066"/>
    <w:rPr>
      <w:rFonts w:ascii="Arial" w:eastAsia="Times New Roman" w:hAnsi="Arial" w:cs="Arial"/>
      <w:i/>
      <w:iCs/>
      <w:noProof/>
      <w:sz w:val="20"/>
      <w:szCs w:val="20"/>
      <w:lang w:val="en-GB" w:eastAsia="zh-CN"/>
    </w:rPr>
  </w:style>
  <w:style w:type="paragraph" w:styleId="BodyText3">
    <w:name w:val="Body Text 3"/>
    <w:basedOn w:val="Normal"/>
    <w:link w:val="BodyText3Char"/>
    <w:rsid w:val="006C7066"/>
    <w:pPr>
      <w:spacing w:after="0" w:line="240" w:lineRule="auto"/>
      <w:jc w:val="both"/>
    </w:pPr>
    <w:rPr>
      <w:rFonts w:ascii="Arial" w:eastAsia="Times New Roman" w:hAnsi="Arial" w:cs="Arial"/>
      <w:i/>
      <w:iCs/>
      <w:sz w:val="20"/>
      <w:szCs w:val="20"/>
      <w:lang w:eastAsia="zh-CN"/>
    </w:rPr>
  </w:style>
  <w:style w:type="character" w:customStyle="1" w:styleId="BodyText3Char">
    <w:name w:val="Body Text 3 Char"/>
    <w:basedOn w:val="DefaultParagraphFont"/>
    <w:link w:val="BodyText3"/>
    <w:rsid w:val="006C7066"/>
    <w:rPr>
      <w:rFonts w:ascii="Arial" w:eastAsia="Times New Roman" w:hAnsi="Arial" w:cs="Arial"/>
      <w:i/>
      <w:iCs/>
      <w:noProof/>
      <w:sz w:val="20"/>
      <w:szCs w:val="20"/>
      <w:lang w:val="en-GB" w:eastAsia="zh-CN"/>
    </w:rPr>
  </w:style>
  <w:style w:type="paragraph" w:customStyle="1" w:styleId="Default">
    <w:name w:val="Default"/>
    <w:rsid w:val="006C7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styleId="Title">
    <w:name w:val="Title"/>
    <w:basedOn w:val="Default"/>
    <w:next w:val="Default"/>
    <w:link w:val="TitleChar"/>
    <w:qFormat/>
    <w:rsid w:val="006C7066"/>
    <w:rPr>
      <w:color w:val="auto"/>
    </w:rPr>
  </w:style>
  <w:style w:type="character" w:customStyle="1" w:styleId="TitleChar">
    <w:name w:val="Title Char"/>
    <w:basedOn w:val="DefaultParagraphFont"/>
    <w:link w:val="Title"/>
    <w:rsid w:val="006C7066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6C70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GridTable4-Accent51">
    <w:name w:val="Grid Table 4 - Accent 51"/>
    <w:basedOn w:val="TableNormal"/>
    <w:uiPriority w:val="49"/>
    <w:rsid w:val="006C706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6C706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6C706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7066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706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7066"/>
    <w:rPr>
      <w:rFonts w:ascii="Tahoma" w:hAnsi="Tahoma"/>
      <w:noProof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6C7066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C7066"/>
    <w:rPr>
      <w:color w:val="808080"/>
      <w:shd w:val="clear" w:color="auto" w:fill="E6E6E6"/>
    </w:rPr>
  </w:style>
  <w:style w:type="numbering" w:customStyle="1" w:styleId="Style1">
    <w:name w:val="Style1"/>
    <w:uiPriority w:val="99"/>
    <w:rsid w:val="006C7066"/>
    <w:pPr>
      <w:numPr>
        <w:numId w:val="6"/>
      </w:numPr>
    </w:pPr>
  </w:style>
  <w:style w:type="table" w:styleId="GridTable5Dark-Accent5">
    <w:name w:val="Grid Table 5 Dark Accent 5"/>
    <w:basedOn w:val="TableNormal"/>
    <w:uiPriority w:val="50"/>
    <w:rsid w:val="006C706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6C706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C7066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6C7066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6C706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C7066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C706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C706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7066"/>
    <w:pPr>
      <w:spacing w:after="0" w:line="240" w:lineRule="auto"/>
    </w:pPr>
    <w:rPr>
      <w:rFonts w:ascii="Tahoma" w:hAnsi="Tahoma"/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0FE8D-9834-41D5-B511-0A401AB7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Odunga Abuodha</dc:creator>
  <cp:keywords/>
  <dc:description/>
  <cp:lastModifiedBy>Odunga Abuodha</cp:lastModifiedBy>
  <cp:revision>5</cp:revision>
  <dcterms:created xsi:type="dcterms:W3CDTF">2019-11-09T20:30:00Z</dcterms:created>
  <dcterms:modified xsi:type="dcterms:W3CDTF">2020-02-09T07:02:00Z</dcterms:modified>
</cp:coreProperties>
</file>